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34653A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2F06CB">
        <w:rPr>
          <w:b/>
          <w:bCs/>
          <w:color w:val="002060"/>
          <w:sz w:val="20"/>
          <w:szCs w:val="20"/>
        </w:rPr>
        <w:t>1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bookmarkStart w:id="0" w:name="_Hlk176247242"/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01364E" w:rsidRP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  <w:r w:rsidRPr="0001364E">
        <w:rPr>
          <w:b/>
          <w:i/>
          <w:iCs/>
          <w:color w:val="4472C4" w:themeColor="accent1"/>
          <w:sz w:val="20"/>
          <w:szCs w:val="20"/>
        </w:rPr>
        <w:t>Wymagania na ocenę dopuszczającą</w:t>
      </w:r>
      <w:r w:rsidR="00CB69D9">
        <w:rPr>
          <w:b/>
          <w:i/>
          <w:iCs/>
          <w:color w:val="4472C4" w:themeColor="accent1"/>
          <w:sz w:val="20"/>
          <w:szCs w:val="20"/>
        </w:rPr>
        <w:t xml:space="preserve"> (K)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70AD47" w:themeColor="accent6"/>
          <w:sz w:val="20"/>
          <w:szCs w:val="20"/>
        </w:rPr>
      </w:pPr>
      <w:r w:rsidRPr="0001364E">
        <w:rPr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</w:t>
      </w:r>
      <w:r w:rsidR="00CB69D9">
        <w:rPr>
          <w:b/>
          <w:i/>
          <w:iCs/>
          <w:color w:val="70AD47" w:themeColor="accent6"/>
          <w:sz w:val="20"/>
          <w:szCs w:val="20"/>
        </w:rPr>
        <w:t xml:space="preserve"> (P)</w:t>
      </w:r>
    </w:p>
    <w:p w:rsidR="0001364E" w:rsidRPr="004F4188" w:rsidRDefault="0001364E" w:rsidP="0001364E">
      <w:pPr>
        <w:shd w:val="clear" w:color="auto" w:fill="FFFFFF" w:themeFill="background1"/>
        <w:spacing w:after="0" w:line="360" w:lineRule="auto"/>
        <w:jc w:val="both"/>
        <w:rPr>
          <w:i/>
          <w:iCs/>
          <w:color w:val="C65911"/>
          <w:sz w:val="20"/>
          <w:szCs w:val="20"/>
        </w:rPr>
      </w:pPr>
      <w:r w:rsidRPr="004F4188">
        <w:rPr>
          <w:b/>
          <w:i/>
          <w:iCs/>
          <w:color w:val="C65911"/>
          <w:sz w:val="20"/>
          <w:szCs w:val="20"/>
        </w:rPr>
        <w:t>Wymagania na ocenę dobrą</w:t>
      </w:r>
      <w:r w:rsidRPr="004F4188">
        <w:rPr>
          <w:i/>
          <w:iCs/>
          <w:color w:val="C65911"/>
          <w:sz w:val="20"/>
          <w:szCs w:val="20"/>
        </w:rPr>
        <w:t xml:space="preserve"> zawierają wymagania na ocenę dostateczną I dopuszczającą</w:t>
      </w:r>
      <w:r w:rsidR="00CB69D9" w:rsidRPr="004F4188">
        <w:rPr>
          <w:i/>
          <w:iCs/>
          <w:color w:val="C65911"/>
          <w:sz w:val="20"/>
          <w:szCs w:val="20"/>
        </w:rPr>
        <w:t xml:space="preserve"> (R)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  <w:r w:rsidRPr="0001364E">
        <w:rPr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</w:t>
      </w:r>
      <w:r w:rsidR="00CB69D9">
        <w:rPr>
          <w:b/>
          <w:i/>
          <w:iCs/>
          <w:color w:val="FF0000"/>
          <w:sz w:val="20"/>
          <w:szCs w:val="20"/>
        </w:rPr>
        <w:t xml:space="preserve"> (D)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sz w:val="20"/>
          <w:szCs w:val="20"/>
        </w:rPr>
      </w:pPr>
      <w:r w:rsidRPr="0001364E">
        <w:rPr>
          <w:b/>
          <w:i/>
          <w:iCs/>
          <w:sz w:val="20"/>
          <w:szCs w:val="20"/>
        </w:rPr>
        <w:t>Wymagania na ocenę celującą zawierają wymagania na oceną bardzo dobrą, dobrą, dostateczną i dopuszczającą</w:t>
      </w:r>
      <w:r w:rsidR="00CB69D9">
        <w:rPr>
          <w:b/>
          <w:i/>
          <w:iCs/>
          <w:sz w:val="20"/>
          <w:szCs w:val="20"/>
        </w:rPr>
        <w:t xml:space="preserve"> (W)</w:t>
      </w:r>
    </w:p>
    <w:bookmarkEnd w:id="0"/>
    <w:p w:rsidR="00CB69D9" w:rsidRDefault="00CB69D9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2F06CB" w:rsidRPr="0034653A" w:rsidRDefault="0034653A" w:rsidP="0034653A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  <w:bookmarkStart w:id="1" w:name="_Hlk15322564"/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I. </w:t>
      </w:r>
      <w:r w:rsidR="002F06CB" w:rsidRPr="0034653A">
        <w:rPr>
          <w:b/>
          <w:bCs/>
          <w:color w:val="002060"/>
          <w:sz w:val="28"/>
          <w:szCs w:val="28"/>
        </w:rPr>
        <w:t>ZBIORY LICZBOWE. LICZBY RZECZYWISTE.</w:t>
      </w:r>
    </w:p>
    <w:p w:rsidR="00313F37" w:rsidRPr="0051162B" w:rsidRDefault="00313F37" w:rsidP="00313F37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bookmarkEnd w:id="1"/>
    </w:tbl>
    <w:p w:rsidR="002F06CB" w:rsidRDefault="002F06CB" w:rsidP="002F06CB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2F06CB" w:rsidRDefault="002F06CB" w:rsidP="002F06CB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B1FF0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B1FF0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2F06CB" w:rsidRDefault="002F06CB" w:rsidP="002F06CB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2F06CB" w:rsidRDefault="002F06CB" w:rsidP="002F06CB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80BD4" w:rsidRDefault="002F06CB" w:rsidP="005C4536">
      <w:pPr>
        <w:spacing w:after="0" w:line="360" w:lineRule="auto"/>
        <w:rPr>
          <w:color w:val="002060"/>
          <w:sz w:val="20"/>
          <w:szCs w:val="20"/>
          <w:u w:val="single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2F06CB" w:rsidRPr="002F06CB" w:rsidTr="00585252">
        <w:trPr>
          <w:trHeight w:val="300"/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F06CB" w:rsidRPr="002F06CB" w:rsidTr="00585252">
        <w:trPr>
          <w:trHeight w:val="300"/>
          <w:tblHeader/>
          <w:jc w:val="center"/>
        </w:trPr>
        <w:tc>
          <w:tcPr>
            <w:tcW w:w="5820" w:type="dxa"/>
            <w:shd w:val="clear" w:color="000000" w:fill="00B0F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liczbę przeciwną oraz odwrotną do danej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równania z jedną niewiadomą metodą </w:t>
            </w: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równań równoważnych;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wyznaczyć największy wspólny dzielnik i najmniejszą wspólną wielokrotność liczb naturalnych;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przedziału otw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rtego i domkni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tego;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szacować wartości wyrażeń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 , co to jest równanie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 , co to jest nierówność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F06CB" w:rsidRDefault="002F06C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9"/>
        <w:gridCol w:w="5374"/>
      </w:tblGrid>
      <w:tr w:rsidR="002F06CB" w:rsidRPr="002F06CB" w:rsidTr="005C4536">
        <w:trPr>
          <w:trHeight w:val="300"/>
          <w:tblHeader/>
          <w:jc w:val="center"/>
        </w:trPr>
        <w:tc>
          <w:tcPr>
            <w:tcW w:w="12240" w:type="dxa"/>
            <w:gridSpan w:val="2"/>
            <w:shd w:val="clear" w:color="000000" w:fill="333F4F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2F06CB" w:rsidRPr="002F06CB" w:rsidTr="00585252">
        <w:trPr>
          <w:trHeight w:val="300"/>
          <w:tblHeader/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000000" w:fill="FF000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sprawnie posługiwać się symboliką matematyczną dotyczącą zbiorów;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wyznaczać sumy, różnice i iloczyny więcej niż dwóch zbiorów: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przykłady zbiorów A i B, jeśli dana jest suma, iloczyn albo różnica tych zbiorów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liczb względnie pierwszych;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oszacować wartość liczby niewymiernej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a,b</w:t>
            </w:r>
            <w:proofErr w:type="spellEnd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)</w:t>
            </w:r>
            <w:r w:rsidR="00585252"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NWW(a, b)= ab;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wykonywać działania na więcej niż dwóch przedziałach liczbowych;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  <w:t>rozumie zmiany bankowych stóp procentowych i umie wyrażać je w punktach procentowych (oraz bazowych);</w:t>
            </w:r>
          </w:p>
        </w:tc>
      </w:tr>
    </w:tbl>
    <w:p w:rsidR="002F06CB" w:rsidRDefault="002F06C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A17034" w:rsidRPr="00A17034" w:rsidTr="00585252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A17034" w:rsidRPr="00A17034" w:rsidRDefault="00A17034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A17034" w:rsidRPr="00A17034" w:rsidTr="00585252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A17034" w:rsidRPr="00A17034" w:rsidRDefault="00A17034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A17034" w:rsidRPr="00A17034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A17034" w:rsidRPr="00A17034" w:rsidRDefault="00A17034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A17034" w:rsidRPr="00A17034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A17034" w:rsidRPr="00A17034" w:rsidRDefault="00A17034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DE45CE" w:rsidRDefault="00DE45CE">
      <w:pPr>
        <w:rPr>
          <w:color w:val="002060"/>
          <w:sz w:val="20"/>
          <w:szCs w:val="20"/>
          <w:u w:val="single"/>
        </w:rPr>
      </w:pPr>
    </w:p>
    <w:p w:rsidR="00DE45CE" w:rsidRDefault="00DE45CE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DE45CE" w:rsidRDefault="0034653A" w:rsidP="0034653A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  <w:r w:rsidRPr="0034653A">
        <w:rPr>
          <w:b/>
          <w:color w:val="002060"/>
          <w:sz w:val="28"/>
          <w:szCs w:val="28"/>
        </w:rPr>
        <w:lastRenderedPageBreak/>
        <w:t>II</w:t>
      </w:r>
      <w:r>
        <w:rPr>
          <w:color w:val="002060"/>
          <w:sz w:val="20"/>
          <w:szCs w:val="20"/>
          <w:u w:val="single"/>
        </w:rPr>
        <w:t xml:space="preserve">. </w:t>
      </w:r>
      <w:r w:rsidR="00DE45CE" w:rsidRPr="0051162B">
        <w:rPr>
          <w:b/>
          <w:bCs/>
          <w:color w:val="002060"/>
          <w:sz w:val="28"/>
          <w:szCs w:val="28"/>
        </w:rPr>
        <w:t>WYRAŻENIA ALGEBRAICZNE.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DE45CE" w:rsidRPr="00183DD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Przekształcanie wzorów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DE45CE" w:rsidRPr="00877024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877024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77024"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DE45CE" w:rsidRPr="00877024" w:rsidRDefault="00DE45CE" w:rsidP="000918BA">
            <w:pPr>
              <w:rPr>
                <w:color w:val="002060"/>
                <w:sz w:val="20"/>
                <w:szCs w:val="20"/>
              </w:rPr>
            </w:pPr>
            <w:r w:rsidRPr="00877024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:rsidR="00DE45CE" w:rsidRDefault="00DE45CE" w:rsidP="00DE45C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Pr="001F0EA5" w:rsidRDefault="00DE45CE" w:rsidP="00DE45CE">
      <w:pPr>
        <w:pStyle w:val="Akapitzlist"/>
        <w:numPr>
          <w:ilvl w:val="0"/>
          <w:numId w:val="1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DE45CE" w:rsidRDefault="00DE45CE" w:rsidP="00DE45C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Default="00DE45CE" w:rsidP="00DE45C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Default="00DE45CE" w:rsidP="00DE45CE">
      <w:pPr>
        <w:spacing w:after="0" w:line="360" w:lineRule="auto"/>
        <w:rPr>
          <w:color w:val="002060"/>
          <w:sz w:val="20"/>
          <w:szCs w:val="20"/>
          <w:u w:val="single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8"/>
        <w:gridCol w:w="5385"/>
      </w:tblGrid>
      <w:tr w:rsidR="00DE45CE" w:rsidRPr="00DE45CE" w:rsidTr="00585252">
        <w:trPr>
          <w:trHeight w:val="300"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DE45CE" w:rsidRPr="00DE45CE" w:rsidTr="00585252">
        <w:trPr>
          <w:trHeight w:val="300"/>
          <w:tblHeader/>
          <w:jc w:val="center"/>
        </w:trPr>
        <w:tc>
          <w:tcPr>
            <w:tcW w:w="5388" w:type="dxa"/>
            <w:shd w:val="clear" w:color="000000" w:fill="00B0F0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5" w:type="dxa"/>
            <w:shd w:val="clear" w:color="000000" w:fill="00B050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cia: jednomianu, jednomianów podobnych, wyrażenia algebraicznego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metodę grupowania wyrazów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zasad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redukowania wyrazów podobnych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dodawać i odejmować sumy algebraiczne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sprawnie posługiwać się wzorami skróconego mnożenia:  (a – b)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– 2ab +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  (a + b)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+ 2ab +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–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mnożyć sumy algebraiczne przez jednomiany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obliczać wartości liczbowe wyrażeń algebraicznych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przeprowadzić dowód niewymierności pierwiastka z 2;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usunąć niewymierność z mianownika, który jest sumą lub różnicą zawi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rającą w zapisie pierwiastek kwadratowy;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pierwiastka arytmetycznego z liczby nieujemnej i potrafi stosować prawa działań na pierwiastkach w obliczeniach;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zasadę dowodzenia wprost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 kwantyfikatora ogólnego i kwantyfikatora szczegółowego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afi zamienić podstawę logarytmu;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wyznaczyć ze wzoru wskazaną zmienną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E45CE" w:rsidRDefault="00DE45CE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1"/>
        <w:gridCol w:w="5392"/>
      </w:tblGrid>
      <w:tr w:rsidR="00585252" w:rsidRPr="00585252" w:rsidTr="00585252">
        <w:trPr>
          <w:trHeight w:val="300"/>
          <w:tblHeader/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85252" w:rsidRPr="00585252" w:rsidTr="00585252">
        <w:trPr>
          <w:trHeight w:val="300"/>
          <w:tblHeader/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mnożyć sumy algebraiczne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</w:t>
            </w: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rupowania wyrazów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budować i nazywać wyrażenia algebraiczne o złożonej konstrukcji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dowód ni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wymierności pierwiastka z 3, 5, …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wyłączać wspólną potęgę poza nawias;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symbolicznie zapisać zdanie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zasadę dowodzenia nie wprost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ocenić wartość logiczną prostego zdania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zaprzeczenie prostego zdania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kontrprzykład, jeśli twierdzenie jest fałszywe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przekształcić wyrażenia z logarytmami;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585252" w:rsidRDefault="00585252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585252" w:rsidRPr="00585252" w:rsidTr="00585252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85252" w:rsidRPr="00585252" w:rsidTr="00585252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wykorzystać pojęcie logarytmu w zadaniach praktycznych.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niestandardowe zadania tekstowe z kontekstem praktycznym z zastosowaniem potęg o wykł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dnikach całkowitych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przeprowadzać dowody twierdzeń o 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standardowej treści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585252" w:rsidRDefault="00585252">
      <w:pPr>
        <w:rPr>
          <w:color w:val="002060"/>
          <w:sz w:val="20"/>
          <w:szCs w:val="20"/>
          <w:u w:val="single"/>
        </w:rPr>
      </w:pPr>
    </w:p>
    <w:p w:rsidR="00630ACF" w:rsidRDefault="0034653A" w:rsidP="0034653A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III. </w:t>
      </w:r>
      <w:r w:rsidR="00630ACF" w:rsidRPr="0051162B">
        <w:rPr>
          <w:b/>
          <w:bCs/>
          <w:color w:val="002060"/>
          <w:sz w:val="28"/>
          <w:szCs w:val="28"/>
        </w:rPr>
        <w:t>FUNKCJE I ICH WŁASNOŚCI.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parzyste i nieparzyste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630ACF" w:rsidRPr="00BD7C6E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630ACF" w:rsidRPr="00BD7C6E" w:rsidRDefault="00630ACF" w:rsidP="000918BA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630ACF" w:rsidRDefault="00630ACF" w:rsidP="00630ACF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630ACF" w:rsidRDefault="00630ACF" w:rsidP="00630ACF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630ACF" w:rsidRPr="001F0EA5" w:rsidRDefault="00630ACF" w:rsidP="00630ACF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630ACF" w:rsidRDefault="00630ACF">
      <w:pPr>
        <w:rPr>
          <w:color w:val="002060"/>
          <w:sz w:val="20"/>
          <w:szCs w:val="20"/>
          <w:u w:val="single"/>
        </w:rPr>
      </w:pPr>
    </w:p>
    <w:p w:rsidR="00630ACF" w:rsidRDefault="00630ACF" w:rsidP="00630ACF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20"/>
        <w:gridCol w:w="4953"/>
      </w:tblGrid>
      <w:tr w:rsidR="002027A4" w:rsidRPr="002027A4" w:rsidTr="002027A4">
        <w:trPr>
          <w:trHeight w:val="300"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027A4" w:rsidRPr="002027A4" w:rsidTr="002027A4">
        <w:trPr>
          <w:trHeight w:val="300"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bottom w:val="dotted" w:sz="4" w:space="0" w:color="auto"/>
            </w:tcBorders>
            <w:shd w:val="clear" w:color="000000" w:fill="00B050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odróżnić funkcję od innych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przyporządkowani:</w:t>
            </w:r>
          </w:p>
        </w:tc>
        <w:tc>
          <w:tcPr>
            <w:tcW w:w="582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funkcji;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a) dziedzina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b) zbiór wartości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c) miejsce zerowe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odróżnić wykres funkcji od krzywej, która wykresem funkcji </w:t>
            </w: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nie jest;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d) argument funkcji, gdy dana jest wartość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określić dziedzinę funkcji liczbowej danej wzorem (w prostych przypadkach);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e) wartość funkcji dla danego argumentu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  <w:tc>
          <w:tcPr>
            <w:tcW w:w="58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interpretować informacje </w:t>
            </w:r>
            <w:r w:rsidRPr="002027A4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na podstawie wykresów funkcji</w:t>
            </w: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2027A4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lub wykresu funkcji</w:t>
            </w: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</w:tbl>
    <w:p w:rsidR="002027A4" w:rsidRDefault="002027A4" w:rsidP="00630ACF">
      <w:pPr>
        <w:spacing w:after="0" w:line="360" w:lineRule="auto"/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2"/>
        <w:gridCol w:w="5391"/>
      </w:tblGrid>
      <w:tr w:rsidR="00751A3A" w:rsidRPr="00751A3A" w:rsidTr="00313F37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51A3A" w:rsidRPr="00751A3A" w:rsidTr="00313F37">
        <w:trPr>
          <w:trHeight w:val="300"/>
          <w:jc w:val="center"/>
        </w:trPr>
        <w:tc>
          <w:tcPr>
            <w:tcW w:w="5382" w:type="dxa"/>
            <w:shd w:val="clear" w:color="000000" w:fill="FFC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1" w:type="dxa"/>
            <w:shd w:val="clear" w:color="000000" w:fill="FF0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funkcji parzystej oraz nieparzystej;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softHyphen/>
              <w:t>sytu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zbadać na podstawie definicji parzystość (nieparzystość) danej funkcji;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bottom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</w:tbl>
    <w:p w:rsidR="002027A4" w:rsidRDefault="002027A4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751A3A" w:rsidRPr="00751A3A" w:rsidTr="00751A3A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751A3A" w:rsidRPr="00751A3A" w:rsidTr="00751A3A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751A3A" w:rsidRPr="00751A3A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751A3A" w:rsidRPr="00751A3A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34653A" w:rsidRDefault="0034653A" w:rsidP="0034653A">
      <w:pPr>
        <w:rPr>
          <w:color w:val="002060"/>
          <w:sz w:val="20"/>
          <w:szCs w:val="20"/>
          <w:u w:val="single"/>
        </w:rPr>
      </w:pPr>
    </w:p>
    <w:p w:rsidR="00350090" w:rsidRPr="0034653A" w:rsidRDefault="0034653A" w:rsidP="0034653A">
      <w:pPr>
        <w:rPr>
          <w:color w:val="002060"/>
          <w:sz w:val="20"/>
          <w:szCs w:val="20"/>
          <w:u w:val="single"/>
        </w:rPr>
      </w:pPr>
      <w:r w:rsidRPr="0034653A">
        <w:rPr>
          <w:b/>
          <w:color w:val="002060"/>
          <w:sz w:val="28"/>
          <w:szCs w:val="28"/>
        </w:rPr>
        <w:t>IV.</w:t>
      </w:r>
      <w:r>
        <w:rPr>
          <w:color w:val="002060"/>
          <w:sz w:val="20"/>
          <w:szCs w:val="20"/>
          <w:u w:val="single"/>
        </w:rPr>
        <w:t xml:space="preserve"> </w:t>
      </w:r>
      <w:r w:rsidR="00350090" w:rsidRPr="0051162B">
        <w:rPr>
          <w:b/>
          <w:bCs/>
          <w:color w:val="002060"/>
          <w:sz w:val="28"/>
          <w:szCs w:val="28"/>
        </w:rPr>
        <w:t>FUNKCJA LINIOWA.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  <w:tr w:rsidR="00350090" w:rsidRPr="003758FA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3758FA" w:rsidRDefault="00350090" w:rsidP="000918BA">
            <w:pPr>
              <w:rPr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b/>
                <w:bCs/>
                <w:i/>
                <w:i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350090" w:rsidRPr="003758FA" w:rsidRDefault="00350090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i/>
                <w:iCs/>
                <w:color w:val="002060"/>
                <w:sz w:val="20"/>
                <w:szCs w:val="20"/>
              </w:rPr>
              <w:t>Wykresy wybranych funkcji</w:t>
            </w:r>
            <w:r w:rsidRPr="00877024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350090" w:rsidRDefault="00350090" w:rsidP="00350090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50090" w:rsidRPr="001F0EA5" w:rsidRDefault="00350090" w:rsidP="003500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751A3A" w:rsidRDefault="00751A3A">
      <w:pPr>
        <w:rPr>
          <w:color w:val="002060"/>
          <w:sz w:val="20"/>
          <w:szCs w:val="20"/>
          <w:u w:val="single"/>
        </w:rPr>
      </w:pPr>
    </w:p>
    <w:p w:rsidR="00350090" w:rsidRDefault="00350090" w:rsidP="00350090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1"/>
        <w:gridCol w:w="5372"/>
      </w:tblGrid>
      <w:tr w:rsidR="00350090" w:rsidRPr="00350090" w:rsidTr="00350090"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50090" w:rsidRPr="00350090" w:rsidTr="00350090">
        <w:tc>
          <w:tcPr>
            <w:tcW w:w="5820" w:type="dxa"/>
            <w:shd w:val="clear" w:color="000000" w:fill="00B0F0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miejsca ze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owe funkcji kawałkami liniowej oraz współrzędne punktu wspólnego wykresu funkcji i osi OY;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wiadomości o funkcji liniowej do opisu zjawisk z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ż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ycia codziennego (podać opis matematyczny zjawiska w postaci wzoru funkcji lini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wej, odczytać informacje z wykresu lub wzoru, zinterpretować je, przeanalizować i przetw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rzyć);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p w:rsidR="00350090" w:rsidRDefault="00350090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350090" w:rsidRDefault="00350090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39"/>
        <w:gridCol w:w="5434"/>
      </w:tblGrid>
      <w:tr w:rsidR="00350090" w:rsidRPr="00350090" w:rsidTr="00350090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4F4188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dyskusję liczby rozwiązań równania liniowego z parametrem (z dwoma parametrami) interpretującego liczbę mi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jsc zerowych/monotoniczność funkcji liniowej; 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4F4188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sprawdzić czy podane trzy punkty są współlini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we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350090" w:rsidRPr="00350090" w:rsidTr="0035009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50090" w:rsidRPr="00350090" w:rsidTr="00350090">
        <w:trPr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50090" w:rsidRPr="00350090" w:rsidTr="00350090">
        <w:trPr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wej o podwyższonym stopniu trudności;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p w:rsidR="001C233F" w:rsidRPr="0034653A" w:rsidRDefault="0034653A" w:rsidP="0034653A">
      <w:pPr>
        <w:rPr>
          <w:color w:val="002060"/>
          <w:sz w:val="20"/>
          <w:szCs w:val="20"/>
          <w:u w:val="single"/>
        </w:rPr>
      </w:pPr>
      <w:r w:rsidRPr="0034653A">
        <w:rPr>
          <w:b/>
          <w:color w:val="002060"/>
          <w:sz w:val="28"/>
          <w:szCs w:val="28"/>
        </w:rPr>
        <w:t>V.</w:t>
      </w:r>
      <w:r>
        <w:rPr>
          <w:color w:val="002060"/>
          <w:sz w:val="20"/>
          <w:szCs w:val="20"/>
          <w:u w:val="single"/>
        </w:rPr>
        <w:t xml:space="preserve"> </w:t>
      </w:r>
      <w:r w:rsidR="001C233F" w:rsidRPr="0051162B">
        <w:rPr>
          <w:b/>
          <w:bCs/>
          <w:color w:val="002060"/>
          <w:sz w:val="28"/>
          <w:szCs w:val="28"/>
        </w:rPr>
        <w:t>UKŁADY RÓWNAŃ LINIOWYCH Z DWIEMA NIEWIADOMYMI.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1C233F" w:rsidRDefault="001C233F" w:rsidP="001C233F">
      <w:pPr>
        <w:rPr>
          <w:b/>
          <w:bCs/>
          <w:color w:val="002060"/>
          <w:sz w:val="20"/>
          <w:szCs w:val="20"/>
        </w:rPr>
      </w:pPr>
    </w:p>
    <w:p w:rsidR="0034653A" w:rsidRDefault="0034653A" w:rsidP="001C233F">
      <w:pPr>
        <w:rPr>
          <w:b/>
          <w:bCs/>
          <w:color w:val="002060"/>
          <w:sz w:val="20"/>
          <w:szCs w:val="20"/>
        </w:rPr>
      </w:pPr>
    </w:p>
    <w:p w:rsidR="0034653A" w:rsidRDefault="0034653A" w:rsidP="001C233F">
      <w:pPr>
        <w:rPr>
          <w:b/>
          <w:bCs/>
          <w:color w:val="002060"/>
          <w:sz w:val="20"/>
          <w:szCs w:val="20"/>
        </w:rPr>
      </w:pPr>
    </w:p>
    <w:p w:rsidR="0034653A" w:rsidRDefault="0034653A" w:rsidP="001C233F">
      <w:pPr>
        <w:rPr>
          <w:b/>
          <w:bCs/>
          <w:color w:val="002060"/>
          <w:sz w:val="20"/>
          <w:szCs w:val="20"/>
        </w:rPr>
      </w:pPr>
    </w:p>
    <w:p w:rsidR="001C233F" w:rsidRDefault="001C233F" w:rsidP="001C233F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lastRenderedPageBreak/>
        <w:t>Uczeń: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8"/>
        <w:gridCol w:w="5385"/>
      </w:tblGrid>
      <w:tr w:rsidR="001C233F" w:rsidRPr="001C233F" w:rsidTr="001C233F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pojęcia: układ oznaczony, nieozn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czony, sprzeczny i umie podać ich interpretację geometryczną;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rozpoznać układy równań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oznaczonych,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nieoznaczonych, sprzecznych;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 rozumie poj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cie układu równań liniowych z dwiema niewi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metody rozwiązywania układów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ównań liniowych: p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dstawiania i przeciwnych współczynników;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1C233F" w:rsidRDefault="001C233F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1C233F" w:rsidRPr="001C233F" w:rsidTr="001C233F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</w:tbl>
    <w:p w:rsidR="001C233F" w:rsidRDefault="001C233F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1C233F" w:rsidRPr="001C233F" w:rsidTr="001C233F">
        <w:trPr>
          <w:jc w:val="center"/>
        </w:trPr>
        <w:tc>
          <w:tcPr>
            <w:tcW w:w="0" w:type="auto"/>
            <w:shd w:val="clear" w:color="000000" w:fill="000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000000" w:fill="D6DCE4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op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syw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 treści zadań niestandardowych za pomocą układów równań oraz przedstawiać ich rozwiązania;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rozwiązać układy trzech (i wię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ej) układów rów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ań liniowych z trzema (czterema) niewiadomymi;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wyznaczyć wartość parametru dla którego podany układ równań jest oznaczony, nieo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naczony albo sprzeczny;</w:t>
            </w:r>
          </w:p>
        </w:tc>
      </w:tr>
    </w:tbl>
    <w:p w:rsidR="00DC67F2" w:rsidRDefault="00DC67F2">
      <w:pPr>
        <w:rPr>
          <w:color w:val="002060"/>
          <w:sz w:val="20"/>
          <w:szCs w:val="20"/>
          <w:u w:val="single"/>
        </w:rPr>
      </w:pPr>
    </w:p>
    <w:p w:rsidR="00313F37" w:rsidRPr="0034653A" w:rsidRDefault="0034653A" w:rsidP="0034653A">
      <w:pPr>
        <w:rPr>
          <w:color w:val="002060"/>
          <w:sz w:val="20"/>
          <w:szCs w:val="20"/>
          <w:u w:val="single"/>
        </w:rPr>
      </w:pPr>
      <w:r w:rsidRPr="0034653A">
        <w:rPr>
          <w:b/>
          <w:color w:val="002060"/>
          <w:sz w:val="28"/>
          <w:szCs w:val="28"/>
        </w:rPr>
        <w:t>VI.</w:t>
      </w:r>
      <w:r>
        <w:rPr>
          <w:color w:val="002060"/>
          <w:sz w:val="20"/>
          <w:szCs w:val="20"/>
          <w:u w:val="single"/>
        </w:rPr>
        <w:t xml:space="preserve"> </w:t>
      </w:r>
      <w:r w:rsidR="00DC67F2" w:rsidRPr="0051162B">
        <w:rPr>
          <w:b/>
          <w:bCs/>
          <w:color w:val="002060"/>
          <w:sz w:val="28"/>
          <w:szCs w:val="28"/>
        </w:rPr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:rsidR="00313F37" w:rsidRDefault="00313F37" w:rsidP="000918BA">
      <w:pPr>
        <w:spacing w:after="0" w:line="360" w:lineRule="auto"/>
        <w:rPr>
          <w:b/>
          <w:bCs/>
          <w:color w:val="002060"/>
          <w:sz w:val="28"/>
          <w:szCs w:val="28"/>
        </w:rPr>
      </w:pPr>
    </w:p>
    <w:p w:rsidR="000918BA" w:rsidRDefault="000918BA" w:rsidP="000918BA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918BA" w:rsidRPr="000918BA" w:rsidTr="00313F37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918BA" w:rsidRPr="000918BA" w:rsidTr="00313F37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 zastosowaniem proporcjonalności odwrotnej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wielkości odwrotnie proporcjona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ln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 kontekstem praktycznym z zastosowaniem w</w:t>
            </w:r>
            <w:r w:rsidR="00367D0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</w:t>
            </w: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elkości odwrotnie proporcjonalnych;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jaką zależność między dwiema wielkościami zmiennymi, nazywamy proporcjonalnością odwrotną; potrafi wskazać współczynnik proporcjonalności;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roz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mie różnice p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między wielkościami wprost proporcjonalnymi a wielkościami odwrotnie proporcjonalnymi;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opisać własności funkcji 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wielk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ści odwrotnie proporcjonalne;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odczytać z wykresu funkcji wykładniczej a</w:t>
            </w:r>
            <w:r w:rsidR="00367D0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gumenty dla danej wartości funkcji;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funkcji logarytmicznej;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367D0E" w:rsidRDefault="00367D0E">
      <w:pPr>
        <w:rPr>
          <w:color w:val="002060"/>
          <w:sz w:val="20"/>
          <w:szCs w:val="20"/>
          <w:u w:val="single"/>
        </w:rPr>
      </w:pPr>
    </w:p>
    <w:p w:rsidR="00367D0E" w:rsidRDefault="00367D0E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58"/>
        <w:gridCol w:w="5415"/>
      </w:tblGrid>
      <w:tr w:rsidR="00367D0E" w:rsidRPr="00367D0E" w:rsidTr="00367D0E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4F4188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4F4188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niestandardowe z kontekstem </w:t>
            </w: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praktycznym z zastosowaniem funkcji wykładniczej;</w:t>
            </w:r>
          </w:p>
        </w:tc>
      </w:tr>
    </w:tbl>
    <w:p w:rsidR="004857F6" w:rsidRDefault="004857F6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857F6" w:rsidRPr="004857F6" w:rsidTr="004857F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91435D" w:rsidRPr="0034653A" w:rsidRDefault="0034653A" w:rsidP="0034653A">
      <w:pPr>
        <w:rPr>
          <w:color w:val="002060"/>
          <w:sz w:val="20"/>
          <w:szCs w:val="20"/>
          <w:u w:val="single"/>
        </w:rPr>
      </w:pPr>
      <w:r w:rsidRPr="0034653A">
        <w:rPr>
          <w:b/>
          <w:color w:val="002060"/>
          <w:sz w:val="28"/>
          <w:szCs w:val="28"/>
        </w:rPr>
        <w:t>VII.</w:t>
      </w:r>
      <w:r>
        <w:rPr>
          <w:color w:val="002060"/>
          <w:sz w:val="20"/>
          <w:szCs w:val="20"/>
          <w:u w:val="single"/>
        </w:rPr>
        <w:t xml:space="preserve"> </w:t>
      </w:r>
      <w:r w:rsidR="0091435D" w:rsidRPr="0051162B">
        <w:rPr>
          <w:b/>
          <w:bCs/>
          <w:color w:val="002060"/>
          <w:sz w:val="28"/>
          <w:szCs w:val="28"/>
        </w:rPr>
        <w:t>GEOMETRIA PŁASKA – POJĘCIA WSTĘPNE. TRÓJKĄTY.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na płaszczyźnie.</w:t>
            </w:r>
          </w:p>
        </w:tc>
      </w:tr>
    </w:tbl>
    <w:p w:rsidR="0091435D" w:rsidRDefault="0091435D" w:rsidP="0091435D">
      <w:pPr>
        <w:rPr>
          <w:b/>
          <w:bCs/>
          <w:color w:val="002060"/>
          <w:sz w:val="20"/>
          <w:szCs w:val="20"/>
        </w:rPr>
      </w:pPr>
    </w:p>
    <w:p w:rsidR="0091435D" w:rsidRDefault="0091435D" w:rsidP="0091435D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lastRenderedPageBreak/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5"/>
        <w:gridCol w:w="5378"/>
      </w:tblGrid>
      <w:tr w:rsidR="0091435D" w:rsidRPr="0091435D" w:rsidTr="0091435D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7B7B7B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1435D" w:rsidRPr="0091435D" w:rsidTr="0091435D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00B050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ile wynosi suma miar kątów w trójkącie;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na długość odcinków, z których można zbudować </w:t>
            </w: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trójkąt;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twierdzenie dotyczące odcinka łączącego środki dwóch boków trójkąta i potrafi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9"/>
        <w:gridCol w:w="5364"/>
      </w:tblGrid>
      <w:tr w:rsidR="0091435D" w:rsidRPr="0091435D" w:rsidTr="0091435D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zna i umie zastosować w zadaniach własność wysokości w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trójkącie prostokątnym, poprowadzonej na przeciwprostokątną;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 xml:space="preserve">zna definicję wektora na płaszczyźnie (bez układu </w:t>
            </w: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współrzędnych);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91435D" w:rsidRPr="0091435D" w:rsidTr="0091435D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4857F6" w:rsidRDefault="004857F6">
      <w:pPr>
        <w:rPr>
          <w:color w:val="002060"/>
          <w:sz w:val="20"/>
          <w:szCs w:val="20"/>
          <w:u w:val="single"/>
        </w:rPr>
      </w:pPr>
    </w:p>
    <w:p w:rsidR="0091435D" w:rsidRPr="0034653A" w:rsidRDefault="0034653A" w:rsidP="0034653A">
      <w:pPr>
        <w:rPr>
          <w:color w:val="002060"/>
          <w:sz w:val="20"/>
          <w:szCs w:val="20"/>
          <w:u w:val="single"/>
        </w:rPr>
      </w:pPr>
      <w:r w:rsidRPr="0034653A">
        <w:rPr>
          <w:b/>
          <w:color w:val="002060"/>
          <w:sz w:val="28"/>
          <w:szCs w:val="28"/>
        </w:rPr>
        <w:t>VIII.</w:t>
      </w:r>
      <w:r>
        <w:rPr>
          <w:color w:val="002060"/>
          <w:sz w:val="20"/>
          <w:szCs w:val="20"/>
          <w:u w:val="single"/>
        </w:rPr>
        <w:t xml:space="preserve"> </w:t>
      </w:r>
      <w:r w:rsidR="0091435D" w:rsidRPr="0051162B">
        <w:rPr>
          <w:b/>
          <w:bCs/>
          <w:color w:val="002060"/>
          <w:sz w:val="28"/>
          <w:szCs w:val="28"/>
        </w:rPr>
        <w:t>TRYGONOMETRIA KĄTA OSTREGO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34653A" w:rsidRDefault="0034653A">
      <w:pPr>
        <w:rPr>
          <w:color w:val="002060"/>
          <w:sz w:val="20"/>
          <w:szCs w:val="20"/>
          <w:u w:val="single"/>
        </w:rPr>
      </w:pPr>
    </w:p>
    <w:p w:rsidR="0091435D" w:rsidRDefault="0091435D" w:rsidP="0091435D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lastRenderedPageBreak/>
        <w:t>Uczeń:</w:t>
      </w:r>
    </w:p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5"/>
        <w:gridCol w:w="5378"/>
      </w:tblGrid>
      <w:tr w:rsidR="0091435D" w:rsidRPr="0091435D" w:rsidTr="0091435D">
        <w:trPr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zna wartości funkcji trygonometrycznych kątów o miarach 30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45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60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19"/>
        <w:gridCol w:w="5354"/>
      </w:tblGrid>
      <w:tr w:rsidR="0053070A" w:rsidRPr="0053070A" w:rsidTr="0053070A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53070A" w:rsidRDefault="0053070A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53070A" w:rsidRPr="0053070A" w:rsidTr="0053070A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3070A" w:rsidRPr="0053070A" w:rsidTr="0053070A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3070A" w:rsidRPr="0053070A" w:rsidTr="0053070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:rsidR="0053070A" w:rsidRDefault="0053070A">
      <w:pPr>
        <w:rPr>
          <w:color w:val="002060"/>
          <w:sz w:val="20"/>
          <w:szCs w:val="20"/>
          <w:u w:val="single"/>
        </w:rPr>
      </w:pPr>
    </w:p>
    <w:sectPr w:rsidR="0053070A" w:rsidSect="003465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4945A16"/>
    <w:multiLevelType w:val="hybridMultilevel"/>
    <w:tmpl w:val="D89455EA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40BEF"/>
    <w:multiLevelType w:val="hybridMultilevel"/>
    <w:tmpl w:val="440E1B7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56C58"/>
    <w:multiLevelType w:val="hybridMultilevel"/>
    <w:tmpl w:val="772AE65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94AC5"/>
    <w:multiLevelType w:val="hybridMultilevel"/>
    <w:tmpl w:val="317A995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7018C"/>
    <w:multiLevelType w:val="hybridMultilevel"/>
    <w:tmpl w:val="10CA6EB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62A6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85D34"/>
    <w:multiLevelType w:val="hybridMultilevel"/>
    <w:tmpl w:val="5526F78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71911"/>
    <w:multiLevelType w:val="hybridMultilevel"/>
    <w:tmpl w:val="B82C262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22"/>
  </w:num>
  <w:num w:numId="3">
    <w:abstractNumId w:val="14"/>
  </w:num>
  <w:num w:numId="4">
    <w:abstractNumId w:val="6"/>
  </w:num>
  <w:num w:numId="5">
    <w:abstractNumId w:val="26"/>
  </w:num>
  <w:num w:numId="6">
    <w:abstractNumId w:val="11"/>
  </w:num>
  <w:num w:numId="7">
    <w:abstractNumId w:val="15"/>
  </w:num>
  <w:num w:numId="8">
    <w:abstractNumId w:val="12"/>
  </w:num>
  <w:num w:numId="9">
    <w:abstractNumId w:val="24"/>
  </w:num>
  <w:num w:numId="10">
    <w:abstractNumId w:val="18"/>
  </w:num>
  <w:num w:numId="11">
    <w:abstractNumId w:val="25"/>
  </w:num>
  <w:num w:numId="12">
    <w:abstractNumId w:val="7"/>
  </w:num>
  <w:num w:numId="13">
    <w:abstractNumId w:val="16"/>
  </w:num>
  <w:num w:numId="14">
    <w:abstractNumId w:val="3"/>
  </w:num>
  <w:num w:numId="15">
    <w:abstractNumId w:val="5"/>
  </w:num>
  <w:num w:numId="16">
    <w:abstractNumId w:val="9"/>
  </w:num>
  <w:num w:numId="17">
    <w:abstractNumId w:val="4"/>
  </w:num>
  <w:num w:numId="18">
    <w:abstractNumId w:val="17"/>
  </w:num>
  <w:num w:numId="19">
    <w:abstractNumId w:val="19"/>
  </w:num>
  <w:num w:numId="20">
    <w:abstractNumId w:val="20"/>
  </w:num>
  <w:num w:numId="21">
    <w:abstractNumId w:val="21"/>
  </w:num>
  <w:num w:numId="22">
    <w:abstractNumId w:val="1"/>
  </w:num>
  <w:num w:numId="23">
    <w:abstractNumId w:val="8"/>
  </w:num>
  <w:num w:numId="24">
    <w:abstractNumId w:val="13"/>
  </w:num>
  <w:num w:numId="25">
    <w:abstractNumId w:val="23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918BA"/>
    <w:rsid w:val="000A1A12"/>
    <w:rsid w:val="000A48C5"/>
    <w:rsid w:val="000E0AF3"/>
    <w:rsid w:val="000E2ED1"/>
    <w:rsid w:val="00121D3E"/>
    <w:rsid w:val="00152F7A"/>
    <w:rsid w:val="00183DD7"/>
    <w:rsid w:val="001B1FF0"/>
    <w:rsid w:val="001C222B"/>
    <w:rsid w:val="001C233F"/>
    <w:rsid w:val="001F0EA5"/>
    <w:rsid w:val="002027A4"/>
    <w:rsid w:val="00212C99"/>
    <w:rsid w:val="00242C3A"/>
    <w:rsid w:val="0026264C"/>
    <w:rsid w:val="002F06CB"/>
    <w:rsid w:val="00313F37"/>
    <w:rsid w:val="00313FF6"/>
    <w:rsid w:val="003443E8"/>
    <w:rsid w:val="0034653A"/>
    <w:rsid w:val="00350090"/>
    <w:rsid w:val="00367D0E"/>
    <w:rsid w:val="003758FA"/>
    <w:rsid w:val="0042442C"/>
    <w:rsid w:val="004857F6"/>
    <w:rsid w:val="004A65EC"/>
    <w:rsid w:val="004E547D"/>
    <w:rsid w:val="004F4188"/>
    <w:rsid w:val="0051066C"/>
    <w:rsid w:val="0051162B"/>
    <w:rsid w:val="0053070A"/>
    <w:rsid w:val="005324EB"/>
    <w:rsid w:val="00585252"/>
    <w:rsid w:val="0059743C"/>
    <w:rsid w:val="005C4536"/>
    <w:rsid w:val="00616F2D"/>
    <w:rsid w:val="00630ACF"/>
    <w:rsid w:val="006330B8"/>
    <w:rsid w:val="00637949"/>
    <w:rsid w:val="00676FE1"/>
    <w:rsid w:val="006A6A80"/>
    <w:rsid w:val="007478FA"/>
    <w:rsid w:val="00751A3A"/>
    <w:rsid w:val="007724EE"/>
    <w:rsid w:val="00877024"/>
    <w:rsid w:val="008F46A9"/>
    <w:rsid w:val="0091435D"/>
    <w:rsid w:val="00927E3B"/>
    <w:rsid w:val="00952B24"/>
    <w:rsid w:val="0098760E"/>
    <w:rsid w:val="009F0E75"/>
    <w:rsid w:val="009F1EB8"/>
    <w:rsid w:val="00A17034"/>
    <w:rsid w:val="00A518DB"/>
    <w:rsid w:val="00A80BD4"/>
    <w:rsid w:val="00AB6A58"/>
    <w:rsid w:val="00B45F43"/>
    <w:rsid w:val="00C1072D"/>
    <w:rsid w:val="00C41280"/>
    <w:rsid w:val="00CB10CC"/>
    <w:rsid w:val="00CB69D9"/>
    <w:rsid w:val="00CF064C"/>
    <w:rsid w:val="00D65735"/>
    <w:rsid w:val="00DC67F2"/>
    <w:rsid w:val="00DE45CE"/>
    <w:rsid w:val="00E14665"/>
    <w:rsid w:val="00E72768"/>
    <w:rsid w:val="00E90CC3"/>
    <w:rsid w:val="00EB6CAD"/>
    <w:rsid w:val="00F445C7"/>
    <w:rsid w:val="00F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A8F9-C76A-4EE0-86FC-3D30A393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5034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dcterms:created xsi:type="dcterms:W3CDTF">2025-09-03T13:48:00Z</dcterms:created>
  <dcterms:modified xsi:type="dcterms:W3CDTF">2025-09-03T13:48:00Z</dcterms:modified>
</cp:coreProperties>
</file>